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4B2FD0F5">
            <wp:simplePos x="0" y="0"/>
            <wp:positionH relativeFrom="column">
              <wp:posOffset>1277249</wp:posOffset>
            </wp:positionH>
            <wp:positionV relativeFrom="paragraph">
              <wp:posOffset>-233632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1741FE02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CADRE DE </w:t>
      </w:r>
      <w:r w:rsidR="004D04C7">
        <w:rPr>
          <w:rFonts w:eastAsia="TimesNewRomanPSMT" w:cs="ArialMT"/>
          <w:b/>
          <w:color w:val="000000"/>
          <w:sz w:val="40"/>
          <w:szCs w:val="40"/>
          <w:u w:val="single"/>
        </w:rPr>
        <w:t>MEMOIRE</w:t>
      </w: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55E8DA1" w14:textId="77777777" w:rsidR="004D04C7" w:rsidRDefault="004D04C7" w:rsidP="004D04C7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32"/>
          <w:szCs w:val="36"/>
        </w:rPr>
      </w:pPr>
      <w:r w:rsidRPr="000532BC">
        <w:rPr>
          <w:rFonts w:eastAsia="TimesNewRomanPSMT" w:cs="ArialMT"/>
          <w:b/>
          <w:color w:val="000000"/>
          <w:sz w:val="32"/>
          <w:szCs w:val="36"/>
        </w:rPr>
        <w:t>C.M.T</w:t>
      </w:r>
    </w:p>
    <w:p w14:paraId="21FAFF71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5FDD5CE6" w14:textId="4A41C7BC" w:rsidR="004D04C7" w:rsidRPr="0070331C" w:rsidRDefault="004D04C7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  <w:r w:rsidRPr="00AA61B4">
        <w:rPr>
          <w:rFonts w:eastAsia="TimesNewRomanPSMT" w:cs="ArialMT"/>
          <w:b/>
          <w:color w:val="FF0000"/>
          <w:sz w:val="32"/>
          <w:szCs w:val="36"/>
        </w:rPr>
        <w:t>Remettre un CMT par lot soumissionné</w:t>
      </w: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22186513">
                <wp:simplePos x="0" y="0"/>
                <wp:positionH relativeFrom="column">
                  <wp:posOffset>-504897</wp:posOffset>
                </wp:positionH>
                <wp:positionV relativeFrom="paragraph">
                  <wp:posOffset>248656</wp:posOffset>
                </wp:positionV>
                <wp:extent cx="6830060" cy="1568450"/>
                <wp:effectExtent l="0" t="0" r="2794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56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2AD79" w14:textId="77777777" w:rsidR="004D04C7" w:rsidRPr="00421806" w:rsidRDefault="004D04C7" w:rsidP="004D04C7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bookmarkStart w:id="0" w:name="_Hlk78282091"/>
                            <w:bookmarkStart w:id="1" w:name="_Hlk78282092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MAINTENANCE DES ASCENSEURS, MONTE-MALADES ET MONTE-CHARGES DU CENTRE HOSPITALIER UNIVERSITAIRE DE MARTINIQU</w:t>
                            </w:r>
                            <w:bookmarkEnd w:id="0"/>
                            <w:bookmarkEnd w:id="1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E (CHUM)</w:t>
                            </w:r>
                          </w:p>
                          <w:p w14:paraId="6D663601" w14:textId="3770CEBC" w:rsidR="008215B1" w:rsidRPr="00421806" w:rsidRDefault="008215B1" w:rsidP="008215B1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9.75pt;margin-top:19.6pt;width:537.8pt;height:1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">
                <v:textbox inset=",5.3mm,,5.3mm">
                  <w:txbxContent>
                    <w:p w14:paraId="1752AD79" w14:textId="77777777" w:rsidR="004D04C7" w:rsidRPr="00421806" w:rsidRDefault="004D04C7" w:rsidP="004D04C7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bookmarkStart w:id="2" w:name="_Hlk78282091"/>
                      <w:bookmarkStart w:id="3" w:name="_Hlk78282092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MAINTENANCE DES ASCENSEURS, MONTE-MALADES ET MONTE-CHARGES DU CENTRE HOSPITALIER UNIVERSITAIRE DE MARTINIQU</w:t>
                      </w:r>
                      <w:bookmarkEnd w:id="2"/>
                      <w:bookmarkEnd w:id="3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E (CHUM)</w:t>
                      </w:r>
                    </w:p>
                    <w:p w14:paraId="6D663601" w14:textId="3770CEBC" w:rsidR="008215B1" w:rsidRPr="00421806" w:rsidRDefault="008215B1" w:rsidP="008215B1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5035F42E" w14:textId="10052D25" w:rsidR="008215B1" w:rsidRDefault="008215B1" w:rsidP="008215B1">
      <w:pPr>
        <w:jc w:val="center"/>
        <w:rPr>
          <w:b/>
          <w:sz w:val="36"/>
          <w:szCs w:val="36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E24290">
        <w:rPr>
          <w:b/>
          <w:sz w:val="36"/>
          <w:szCs w:val="36"/>
        </w:rPr>
        <w:t>DCE-202</w:t>
      </w:r>
      <w:r w:rsidR="004D04C7">
        <w:rPr>
          <w:b/>
          <w:sz w:val="36"/>
          <w:szCs w:val="36"/>
        </w:rPr>
        <w:t>5</w:t>
      </w:r>
      <w:r w:rsidR="00E24290">
        <w:rPr>
          <w:b/>
          <w:sz w:val="36"/>
          <w:szCs w:val="36"/>
        </w:rPr>
        <w:t>-</w:t>
      </w:r>
      <w:r w:rsidR="004D04C7">
        <w:rPr>
          <w:b/>
          <w:sz w:val="36"/>
          <w:szCs w:val="36"/>
        </w:rPr>
        <w:t>ATECK-152</w:t>
      </w:r>
      <w:r w:rsidR="00E24290">
        <w:rPr>
          <w:b/>
          <w:sz w:val="36"/>
          <w:szCs w:val="36"/>
        </w:rPr>
        <w:t>-</w:t>
      </w:r>
      <w:r w:rsidR="009C6E43">
        <w:rPr>
          <w:b/>
          <w:sz w:val="36"/>
          <w:szCs w:val="36"/>
        </w:rPr>
        <w:t>GVL</w:t>
      </w: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2B8B0B2C" w14:textId="77777777" w:rsidR="004D04C7" w:rsidRDefault="004D04C7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3F12F096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0532BC">
        <w:rPr>
          <w:rFonts w:eastAsia="Times New Roman" w:cstheme="minorHAnsi"/>
          <w:b/>
          <w:sz w:val="24"/>
          <w:szCs w:val="24"/>
          <w:u w:val="thick"/>
        </w:rPr>
        <w:t>Nom du candidat</w:t>
      </w:r>
      <w:r w:rsidRPr="000532BC">
        <w:rPr>
          <w:rFonts w:eastAsia="Times New Roman" w:cstheme="minorHAnsi"/>
          <w:b/>
          <w:sz w:val="24"/>
          <w:szCs w:val="24"/>
        </w:rPr>
        <w:t> :</w:t>
      </w:r>
      <w:r w:rsidRPr="000532BC">
        <w:rPr>
          <w:rFonts w:eastAsia="Times New Roman" w:cstheme="minorHAnsi"/>
          <w:b/>
          <w:sz w:val="24"/>
          <w:szCs w:val="24"/>
          <w:u w:val="thick"/>
        </w:rPr>
        <w:t xml:space="preserve"> </w:t>
      </w:r>
    </w:p>
    <w:p w14:paraId="54A4878D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Cs/>
        </w:rPr>
      </w:pPr>
      <w:r w:rsidRPr="000532BC">
        <w:rPr>
          <w:rFonts w:eastAsia="Times New Roman" w:cstheme="minorHAnsi"/>
          <w:bCs/>
          <w:highlight w:val="yellow"/>
        </w:rPr>
        <w:t>(</w:t>
      </w:r>
      <w:proofErr w:type="gramStart"/>
      <w:r w:rsidRPr="000532BC">
        <w:rPr>
          <w:rFonts w:eastAsia="Times New Roman" w:cstheme="minorHAnsi"/>
          <w:bCs/>
          <w:highlight w:val="yellow"/>
        </w:rPr>
        <w:t>à</w:t>
      </w:r>
      <w:proofErr w:type="gramEnd"/>
      <w:r w:rsidRPr="000532BC">
        <w:rPr>
          <w:rFonts w:eastAsia="Times New Roman" w:cstheme="minorHAnsi"/>
          <w:bCs/>
          <w:highlight w:val="yellow"/>
        </w:rPr>
        <w:t xml:space="preserve"> compléter)</w:t>
      </w:r>
    </w:p>
    <w:p w14:paraId="46F11CFD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Cs/>
        </w:rPr>
      </w:pPr>
    </w:p>
    <w:p w14:paraId="2AF1FDEA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0532BC">
        <w:rPr>
          <w:rFonts w:eastAsia="Times New Roman" w:cstheme="minorHAnsi"/>
          <w:b/>
          <w:color w:val="FF0000"/>
          <w:sz w:val="24"/>
          <w:szCs w:val="24"/>
          <w:u w:val="thick"/>
        </w:rPr>
        <w:t>Lot concerné</w:t>
      </w:r>
      <w:r w:rsidRPr="000532BC">
        <w:rPr>
          <w:rFonts w:eastAsia="Times New Roman" w:cstheme="minorHAnsi"/>
          <w:b/>
          <w:color w:val="FF0000"/>
          <w:sz w:val="24"/>
          <w:szCs w:val="24"/>
        </w:rPr>
        <w:t> </w:t>
      </w:r>
      <w:r w:rsidRPr="000532BC">
        <w:rPr>
          <w:rFonts w:eastAsia="Times New Roman" w:cstheme="minorHAnsi"/>
          <w:b/>
          <w:sz w:val="24"/>
          <w:szCs w:val="24"/>
        </w:rPr>
        <w:t xml:space="preserve">: </w:t>
      </w:r>
    </w:p>
    <w:p w14:paraId="20A6B1FB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Cs/>
        </w:rPr>
      </w:pPr>
      <w:r w:rsidRPr="000532BC">
        <w:rPr>
          <w:rFonts w:eastAsia="Times New Roman" w:cstheme="minorHAnsi"/>
          <w:bCs/>
          <w:highlight w:val="yellow"/>
        </w:rPr>
        <w:t>(</w:t>
      </w:r>
      <w:proofErr w:type="gramStart"/>
      <w:r w:rsidRPr="000532BC">
        <w:rPr>
          <w:rFonts w:eastAsia="Times New Roman" w:cstheme="minorHAnsi"/>
          <w:bCs/>
          <w:highlight w:val="yellow"/>
        </w:rPr>
        <w:t>à</w:t>
      </w:r>
      <w:proofErr w:type="gramEnd"/>
      <w:r w:rsidRPr="000532BC">
        <w:rPr>
          <w:rFonts w:eastAsia="Times New Roman" w:cstheme="minorHAnsi"/>
          <w:bCs/>
          <w:highlight w:val="yellow"/>
        </w:rPr>
        <w:t xml:space="preserve"> </w:t>
      </w:r>
      <w:r>
        <w:rPr>
          <w:rFonts w:eastAsia="Times New Roman" w:cstheme="minorHAnsi"/>
          <w:bCs/>
          <w:highlight w:val="yellow"/>
        </w:rPr>
        <w:t>préciser</w:t>
      </w:r>
      <w:r w:rsidRPr="000532BC">
        <w:rPr>
          <w:rFonts w:eastAsia="Times New Roman" w:cstheme="minorHAnsi"/>
          <w:bCs/>
          <w:highlight w:val="yellow"/>
        </w:rPr>
        <w:t>)</w:t>
      </w: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147A783D" w14:textId="018CF434" w:rsidR="004D04C7" w:rsidRDefault="004D04C7" w:rsidP="004D04C7">
      <w:pPr>
        <w:jc w:val="both"/>
      </w:pPr>
      <w:r w:rsidRPr="000532BC">
        <w:t xml:space="preserve">Ce document contractuel permettra au soumissionnaire de répondre au </w:t>
      </w:r>
      <w:r w:rsidRPr="000532BC">
        <w:rPr>
          <w:b/>
          <w:bCs/>
        </w:rPr>
        <w:t>critère n°2 « </w:t>
      </w:r>
      <w:r>
        <w:rPr>
          <w:b/>
          <w:bCs/>
        </w:rPr>
        <w:t>Valeur technique</w:t>
      </w:r>
      <w:r w:rsidRPr="000532BC">
        <w:rPr>
          <w:b/>
          <w:bCs/>
        </w:rPr>
        <w:t xml:space="preserve"> » jugé sur </w:t>
      </w:r>
      <w:r>
        <w:rPr>
          <w:b/>
          <w:bCs/>
        </w:rPr>
        <w:t>60</w:t>
      </w:r>
      <w:r w:rsidRPr="000532BC">
        <w:rPr>
          <w:b/>
          <w:bCs/>
        </w:rPr>
        <w:t xml:space="preserve"> points</w:t>
      </w:r>
      <w:r w:rsidRPr="000532BC">
        <w:t xml:space="preserve">. </w:t>
      </w:r>
    </w:p>
    <w:p w14:paraId="39638750" w14:textId="77777777" w:rsidR="004D04C7" w:rsidRPr="000532BC" w:rsidRDefault="004D04C7" w:rsidP="004D04C7">
      <w:pPr>
        <w:jc w:val="both"/>
        <w:rPr>
          <w:b/>
          <w:bCs/>
          <w:u w:val="single"/>
        </w:rPr>
      </w:pPr>
      <w:r w:rsidRPr="000532BC">
        <w:rPr>
          <w:b/>
          <w:bCs/>
          <w:u w:val="single"/>
        </w:rPr>
        <w:t>Ce cadre est à remplir obligatoirement en lieu et place d’un mémoire technique.</w:t>
      </w:r>
    </w:p>
    <w:p w14:paraId="5E3686C1" w14:textId="77F50036" w:rsidR="00943E2C" w:rsidRPr="004D04C7" w:rsidRDefault="004D04C7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  <w:r w:rsidRPr="00284A38">
        <w:rPr>
          <w:rFonts w:eastAsia="Times New Roman" w:cstheme="minorHAnsi"/>
        </w:rPr>
        <w:t>Le soumissionnaire pourra joindre à son offre toute documentation complémentaire mettant en valeur son savoir-faire.</w:t>
      </w: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10"/>
        <w:gridCol w:w="10084"/>
      </w:tblGrid>
      <w:tr w:rsidR="00925826" w14:paraId="0FEC0660" w14:textId="77777777" w:rsidTr="003656AA">
        <w:trPr>
          <w:trHeight w:val="9355"/>
        </w:trPr>
        <w:tc>
          <w:tcPr>
            <w:tcW w:w="3936" w:type="dxa"/>
          </w:tcPr>
          <w:p w14:paraId="08FC730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23587608" w14:textId="77777777" w:rsidR="004D04C7" w:rsidRPr="00151AB3" w:rsidRDefault="004D04C7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4E1C1853" w14:textId="77777777" w:rsidR="004D04C7" w:rsidRPr="004D04C7" w:rsidRDefault="004D04C7" w:rsidP="004D04C7">
            <w:pPr>
              <w:rPr>
                <w:rFonts w:cs="Calibri"/>
                <w:sz w:val="24"/>
                <w:szCs w:val="24"/>
              </w:rPr>
            </w:pPr>
            <w:r w:rsidRPr="004D04C7">
              <w:rPr>
                <w:rFonts w:cstheme="minorHAnsi"/>
                <w:b/>
                <w:sz w:val="24"/>
                <w:szCs w:val="24"/>
              </w:rPr>
              <w:t>Sous-critère 1</w:t>
            </w:r>
            <w:r w:rsidRPr="004D04C7">
              <w:rPr>
                <w:rFonts w:cstheme="minorHAnsi"/>
                <w:sz w:val="24"/>
                <w:szCs w:val="24"/>
              </w:rPr>
              <w:t xml:space="preserve"> : </w:t>
            </w:r>
            <w:r w:rsidRPr="004D04C7">
              <w:rPr>
                <w:rFonts w:cstheme="minorHAnsi"/>
                <w:b/>
                <w:bCs/>
                <w:sz w:val="24"/>
                <w:szCs w:val="24"/>
              </w:rPr>
              <w:t xml:space="preserve">Pertinence des moyens humains affectés à l’exécution des prestations </w:t>
            </w:r>
            <w:r w:rsidRPr="004D04C7">
              <w:rPr>
                <w:rFonts w:cs="Calibri"/>
                <w:b/>
                <w:bCs/>
                <w:sz w:val="24"/>
                <w:szCs w:val="24"/>
              </w:rPr>
              <w:t>:</w:t>
            </w:r>
          </w:p>
          <w:p w14:paraId="52FD6CF4" w14:textId="77777777" w:rsidR="003656AA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77B52B90" w14:textId="77777777" w:rsidR="004D04C7" w:rsidRPr="0096290E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 xml:space="preserve">Effectifs dédiés d’encadrants et de techniciens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ascensoristes</w:t>
            </w: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 xml:space="preserve"> amenés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>à intervenir dans la cadre du marché</w:t>
            </w:r>
            <w:r w:rsidRPr="00DE4E6C">
              <w:rPr>
                <w:rFonts w:asciiTheme="minorHAnsi" w:hAnsiTheme="minorHAnsi" w:cstheme="minorHAnsi"/>
                <w:bCs/>
                <w:color w:val="auto"/>
                <w:sz w:val="22"/>
              </w:rPr>
              <w:t xml:space="preserve"> avec précision de la répartition des rôles 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</w:rPr>
              <w:t xml:space="preserve">entre </w:t>
            </w:r>
            <w:r w:rsidRPr="00DE4E6C">
              <w:rPr>
                <w:rFonts w:asciiTheme="minorHAnsi" w:hAnsiTheme="minorHAnsi" w:cstheme="minorHAnsi"/>
                <w:bCs/>
                <w:color w:val="auto"/>
                <w:sz w:val="22"/>
              </w:rPr>
              <w:t xml:space="preserve">chaque membre (encadrants, techniciens affectés 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</w:rPr>
              <w:t>à la maintenance</w:t>
            </w:r>
            <w:r w:rsidRPr="00DE4E6C">
              <w:rPr>
                <w:rFonts w:asciiTheme="minorHAnsi" w:hAnsiTheme="minorHAnsi" w:cstheme="minorHAnsi"/>
                <w:bCs/>
                <w:color w:val="auto"/>
                <w:sz w:val="22"/>
              </w:rPr>
              <w:t>)</w:t>
            </w:r>
          </w:p>
          <w:p w14:paraId="364B5559" w14:textId="5BAEA243" w:rsidR="0096290E" w:rsidRPr="00DE4E6C" w:rsidRDefault="0096290E" w:rsidP="0096290E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96290E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u w:val="single"/>
              </w:rPr>
              <w:t>Le nombre d’ascensoristes dédiés doit clairement apparaître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</w:rPr>
              <w:t>.</w:t>
            </w:r>
          </w:p>
          <w:p w14:paraId="7C5525BA" w14:textId="77777777" w:rsidR="004D04C7" w:rsidRPr="0037573E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i/>
                <w:sz w:val="22"/>
              </w:rPr>
            </w:pP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 xml:space="preserve">Qualifications, compétences, expériences de ces personnels </w:t>
            </w:r>
          </w:p>
          <w:p w14:paraId="5A751D40" w14:textId="311C62FA" w:rsidR="0037573E" w:rsidRPr="00DE4E6C" w:rsidRDefault="0037573E" w:rsidP="0037573E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sz w:val="22"/>
              </w:rPr>
            </w:pPr>
            <w:r w:rsidRPr="0037573E">
              <w:rPr>
                <w:rFonts w:asciiTheme="minorHAnsi" w:hAnsiTheme="minorHAnsi" w:cstheme="minorHAnsi"/>
                <w:i/>
                <w:sz w:val="22"/>
                <w:u w:val="single"/>
              </w:rPr>
              <w:t>Le personnel doit attester d’une habilitation électrique et de compétences en électrotechnique / machinerie d’ascenseur</w:t>
            </w:r>
            <w:r>
              <w:rPr>
                <w:rFonts w:asciiTheme="minorHAnsi" w:hAnsiTheme="minorHAnsi" w:cstheme="minorHAnsi"/>
                <w:i/>
                <w:sz w:val="22"/>
              </w:rPr>
              <w:t>.</w:t>
            </w:r>
          </w:p>
          <w:p w14:paraId="428D4962" w14:textId="6995387E" w:rsidR="00136342" w:rsidRPr="00C064B4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C30AD2">
              <w:rPr>
                <w:rFonts w:asciiTheme="minorHAnsi" w:hAnsiTheme="minorHAnsi" w:cstheme="minorHAnsi"/>
                <w:color w:val="auto"/>
                <w:sz w:val="22"/>
              </w:rPr>
              <w:t>Désignation du responsable technique et administratif du marché (interlocuteur physique unique) et d’un suppléant avec description des missions pour la gestion du contrat</w:t>
            </w:r>
          </w:p>
        </w:tc>
        <w:tc>
          <w:tcPr>
            <w:tcW w:w="10208" w:type="dxa"/>
          </w:tcPr>
          <w:p w14:paraId="3AB40E61" w14:textId="68E5EC8E" w:rsidR="00F2618E" w:rsidRPr="00151AB3" w:rsidRDefault="00F2618E" w:rsidP="00F2618E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="004D04C7" w:rsidRPr="004D04C7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7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– hors CV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, diplômes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 xml:space="preserve"> et attestations de qualification/habilitations)</w:t>
            </w:r>
          </w:p>
          <w:p w14:paraId="20C8600F" w14:textId="2725226F" w:rsidR="003656AA" w:rsidRPr="004D04C7" w:rsidRDefault="003656AA" w:rsidP="004D04C7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FF0000"/>
                <w:sz w:val="22"/>
                <w:szCs w:val="24"/>
              </w:rPr>
            </w:pP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Joindre </w:t>
            </w:r>
            <w:bookmarkStart w:id="8" w:name="_Hlk184224205"/>
            <w:r w:rsid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l</w:t>
            </w: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es CV, diplômes et attestations de qualifications/habilitation</w:t>
            </w:r>
            <w:r w:rsid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.</w:t>
            </w:r>
          </w:p>
          <w:bookmarkEnd w:id="8"/>
          <w:p w14:paraId="41450560" w14:textId="076EA4C7" w:rsidR="003656AA" w:rsidRPr="00925826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26FEA34D" w14:textId="77777777" w:rsidR="0096290E" w:rsidRDefault="0096290E" w:rsidP="00F2618E">
      <w:pPr>
        <w:widowControl w:val="0"/>
        <w:rPr>
          <w:rFonts w:eastAsia="Times New Roman" w:cstheme="minorHAnsi"/>
          <w:b/>
          <w:sz w:val="24"/>
          <w:szCs w:val="24"/>
        </w:rPr>
        <w:sectPr w:rsidR="0096290E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96290E">
        <w:trPr>
          <w:trHeight w:val="8689"/>
        </w:trPr>
        <w:tc>
          <w:tcPr>
            <w:tcW w:w="4361" w:type="dxa"/>
          </w:tcPr>
          <w:p w14:paraId="1B36033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709C0971" w14:textId="77777777" w:rsidR="004D04C7" w:rsidRPr="00151AB3" w:rsidRDefault="004D04C7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4CD1D709" w14:textId="77777777" w:rsidR="004D04C7" w:rsidRPr="004D04C7" w:rsidRDefault="004D04C7" w:rsidP="004D04C7">
            <w:pPr>
              <w:rPr>
                <w:rFonts w:cstheme="minorHAnsi"/>
                <w:b/>
                <w:sz w:val="24"/>
                <w:szCs w:val="24"/>
              </w:rPr>
            </w:pPr>
            <w:r w:rsidRPr="004D04C7">
              <w:rPr>
                <w:rFonts w:cstheme="minorHAnsi"/>
                <w:b/>
                <w:sz w:val="24"/>
                <w:szCs w:val="24"/>
              </w:rPr>
              <w:t>Sous-critère 2 : Pertinence de la méthodologie d’intervention proposée pour l’exécution des prestations :</w:t>
            </w:r>
          </w:p>
          <w:p w14:paraId="3E11B200" w14:textId="77777777" w:rsidR="004D04C7" w:rsidRDefault="004D04C7" w:rsidP="004D04C7">
            <w:pPr>
              <w:rPr>
                <w:rFonts w:cstheme="minorHAnsi"/>
              </w:rPr>
            </w:pPr>
          </w:p>
          <w:p w14:paraId="47FB74B2" w14:textId="3F3E1DD9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 xml:space="preserve">Modes opératoires pour réaliser l’ensemble des prestations prévues au CCTP (préventif, correctif, prestations annexes et prestations sur marchés subséquents) </w:t>
            </w:r>
          </w:p>
          <w:p w14:paraId="2CCA4916" w14:textId="4183C0D7" w:rsidR="004D04C7" w:rsidRDefault="004D04C7" w:rsidP="0096290E">
            <w:pPr>
              <w:pStyle w:val="Enumration1"/>
              <w:numPr>
                <w:ilvl w:val="0"/>
                <w:numId w:val="0"/>
              </w:numPr>
              <w:spacing w:before="0"/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 xml:space="preserve">Les livrables à remettre devront être clairement indiqués. </w:t>
            </w:r>
          </w:p>
          <w:p w14:paraId="20258424" w14:textId="20783962" w:rsidR="004D04C7" w:rsidRDefault="004D04C7" w:rsidP="004D04C7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Les horaires d’intervention doivent être précisés.</w:t>
            </w:r>
          </w:p>
          <w:p w14:paraId="4CBD158C" w14:textId="27833B15" w:rsidR="009A07EB" w:rsidRPr="004D04C7" w:rsidRDefault="009A07EB" w:rsidP="004D04C7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L’organisation relative au plan de maintenance devra être décrite.</w:t>
            </w:r>
          </w:p>
          <w:p w14:paraId="14B8A75C" w14:textId="77777777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>Méthodologie organisationnelle proposée pour répondre aux demandes d’intervention des prestations sur commande via la partie "accord-cadre" (traitement et suivi des demandes y compris de devis et de réponse aux marchés subséquents)</w:t>
            </w:r>
          </w:p>
          <w:p w14:paraId="067F6857" w14:textId="0A076D34" w:rsidR="004D04C7" w:rsidRPr="004D04C7" w:rsidRDefault="004D04C7" w:rsidP="004D04C7">
            <w:pPr>
              <w:pStyle w:val="Enumration1"/>
              <w:numPr>
                <w:ilvl w:val="0"/>
                <w:numId w:val="0"/>
              </w:numPr>
              <w:ind w:left="360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 xml:space="preserve">La procédure pour la gestion des demandes de prestations devra être clairement identifiée dans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</w:t>
            </w: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offre. Les points de contact seront précisés.</w:t>
            </w:r>
          </w:p>
          <w:p w14:paraId="61D81B18" w14:textId="77777777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Méthodologie organisationnelle pour les interventions d’urgence (astreinte, déblocage/désincarcération de personnes)</w:t>
            </w:r>
          </w:p>
          <w:p w14:paraId="7CAE0FD4" w14:textId="2C83DA04" w:rsidR="0096290E" w:rsidRPr="0096290E" w:rsidRDefault="0096290E" w:rsidP="0096290E">
            <w:pPr>
              <w:pStyle w:val="Enumration1"/>
              <w:numPr>
                <w:ilvl w:val="0"/>
                <w:numId w:val="0"/>
              </w:numPr>
              <w:ind w:left="142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96290E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L’organisation mise en place pour les interventions d’urgence devra être décrite en termes de moyens humains et techniques.</w:t>
            </w:r>
          </w:p>
          <w:p w14:paraId="76C0D955" w14:textId="00308E84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>Moyens matériels et logistiques proposés pour la réalisation des prestations (véhicules, outillage, logiciels, équipements de test)</w:t>
            </w:r>
          </w:p>
          <w:p w14:paraId="0AFD6472" w14:textId="77777777" w:rsidR="00DC6FB9" w:rsidRDefault="004D04C7" w:rsidP="004D04C7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L’utilisation éventuelle d’une GMAO et ses modalités devront apparaître ici ainsi que les possibilités d’interfaçage avec la GMAO du CHUM.</w:t>
            </w:r>
          </w:p>
          <w:p w14:paraId="30AEC60B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1164DFE9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0E041B4F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4645BDA6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3CE6FD0A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2A415534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553E31EA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037A61A8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0C3A45DE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655D3848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26F426C2" w14:textId="77777777" w:rsidR="0096290E" w:rsidRDefault="0096290E" w:rsidP="0096290E">
            <w:pPr>
              <w:rPr>
                <w:rFonts w:eastAsia="Times New Roman" w:cstheme="minorHAnsi"/>
                <w:i/>
                <w:iCs/>
                <w:u w:val="single"/>
                <w:lang w:eastAsia="fr-FR"/>
              </w:rPr>
            </w:pPr>
          </w:p>
          <w:p w14:paraId="79D5FDAE" w14:textId="32998C96" w:rsidR="0096290E" w:rsidRPr="0096290E" w:rsidRDefault="0096290E" w:rsidP="0096290E">
            <w:pPr>
              <w:tabs>
                <w:tab w:val="left" w:pos="1549"/>
              </w:tabs>
              <w:rPr>
                <w:lang w:eastAsia="fr-FR"/>
              </w:rPr>
            </w:pPr>
            <w:r>
              <w:rPr>
                <w:lang w:eastAsia="fr-FR"/>
              </w:rPr>
              <w:tab/>
            </w:r>
          </w:p>
        </w:tc>
        <w:tc>
          <w:tcPr>
            <w:tcW w:w="10112" w:type="dxa"/>
          </w:tcPr>
          <w:p w14:paraId="2E07C5E9" w14:textId="5597D010" w:rsidR="00F2618E" w:rsidRPr="00F2618E" w:rsidRDefault="00F2618E" w:rsidP="00F2618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 w:rsidR="004D04C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15</w:t>
            </w:r>
            <w:r w:rsidRPr="00F2618E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</w:t>
            </w:r>
            <w:r w:rsidR="003656AA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</w:t>
            </w:r>
            <w:r w:rsidR="003656AA" w:rsidRPr="00151AB3">
              <w:rPr>
                <w:rFonts w:eastAsia="Times New Roman" w:cstheme="minorHAnsi"/>
                <w:b/>
                <w:sz w:val="24"/>
                <w:szCs w:val="24"/>
              </w:rPr>
              <w:t>– hors</w:t>
            </w:r>
            <w:r w:rsidR="003656AA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="00DE6C9C">
              <w:rPr>
                <w:rFonts w:eastAsia="Times New Roman" w:cstheme="minorHAnsi"/>
                <w:b/>
                <w:sz w:val="24"/>
                <w:szCs w:val="24"/>
              </w:rPr>
              <w:t>annexes)</w:t>
            </w:r>
          </w:p>
          <w:p w14:paraId="65D25923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C40FE1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BA4E54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3DA512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F4D8AE6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368AD7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060468C0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979484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37DB1977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171FF43" w14:textId="7F45A63F" w:rsidR="00925826" w:rsidRPr="00925826" w:rsidRDefault="00925826" w:rsidP="004D04C7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  <w:tr w:rsidR="0096290E" w14:paraId="0A307222" w14:textId="77777777" w:rsidTr="0096290E">
        <w:trPr>
          <w:trHeight w:val="8606"/>
        </w:trPr>
        <w:tc>
          <w:tcPr>
            <w:tcW w:w="4361" w:type="dxa"/>
          </w:tcPr>
          <w:p w14:paraId="4AE660A9" w14:textId="77777777" w:rsidR="0096290E" w:rsidRDefault="0096290E" w:rsidP="00E5314F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031701D9" w14:textId="77777777" w:rsidR="0096290E" w:rsidRPr="00151AB3" w:rsidRDefault="0096290E" w:rsidP="00E5314F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24AE9C21" w14:textId="3F6988EC" w:rsidR="0096290E" w:rsidRPr="0096290E" w:rsidRDefault="0096290E" w:rsidP="00E5314F">
            <w:pPr>
              <w:rPr>
                <w:rFonts w:cstheme="minorHAnsi"/>
              </w:rPr>
            </w:pPr>
            <w:r w:rsidRPr="004D04C7">
              <w:rPr>
                <w:rFonts w:cstheme="minorHAnsi"/>
                <w:b/>
                <w:sz w:val="24"/>
                <w:szCs w:val="24"/>
              </w:rPr>
              <w:t xml:space="preserve">Sous-critère 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Pr="004D04C7">
              <w:rPr>
                <w:rFonts w:cstheme="minorHAnsi"/>
                <w:sz w:val="24"/>
                <w:szCs w:val="24"/>
              </w:rPr>
              <w:t xml:space="preserve"> : </w:t>
            </w:r>
            <w:r w:rsidRPr="0096290E">
              <w:rPr>
                <w:rFonts w:cstheme="minorHAnsi"/>
                <w:b/>
                <w:bCs/>
                <w:sz w:val="24"/>
                <w:szCs w:val="24"/>
              </w:rPr>
              <w:t>Pertinence des mesures mises en place en matière qualité/sécurité et de gestion des déchets :</w:t>
            </w:r>
          </w:p>
          <w:p w14:paraId="59A85D9A" w14:textId="77777777" w:rsidR="0096290E" w:rsidRDefault="0096290E" w:rsidP="00E5314F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699926E" w14:textId="77777777" w:rsidR="0096290E" w:rsidRPr="0096290E" w:rsidRDefault="0096290E" w:rsidP="0096290E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96290E">
              <w:rPr>
                <w:rFonts w:asciiTheme="minorHAnsi" w:hAnsiTheme="minorHAnsi" w:cstheme="minorHAnsi"/>
                <w:color w:val="auto"/>
                <w:sz w:val="22"/>
              </w:rPr>
              <w:t>Procédures « qualité et sécurité » mises en place pour l’exécution des prestations</w:t>
            </w:r>
          </w:p>
          <w:p w14:paraId="267189C7" w14:textId="77777777" w:rsidR="0096290E" w:rsidRPr="0096290E" w:rsidRDefault="0096290E" w:rsidP="0096290E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96290E">
              <w:rPr>
                <w:rFonts w:asciiTheme="minorHAnsi" w:hAnsiTheme="minorHAnsi" w:cstheme="minorHAnsi"/>
                <w:color w:val="auto"/>
                <w:sz w:val="22"/>
              </w:rPr>
              <w:t>Modalités de gestion des déchets (collecte, tri, évacuation, filières de recyclage)</w:t>
            </w:r>
          </w:p>
          <w:p w14:paraId="23EC8835" w14:textId="064D9721" w:rsidR="0096290E" w:rsidRPr="0096290E" w:rsidRDefault="0096290E" w:rsidP="0096290E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112" w:type="dxa"/>
          </w:tcPr>
          <w:p w14:paraId="443229E0" w14:textId="3333B3E6" w:rsidR="0096290E" w:rsidRPr="00151AB3" w:rsidRDefault="0096290E" w:rsidP="00E5314F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96290E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5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 xml:space="preserve">– hors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annexes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)</w:t>
            </w:r>
          </w:p>
          <w:p w14:paraId="0C0A822B" w14:textId="77777777" w:rsidR="0096290E" w:rsidRPr="00925826" w:rsidRDefault="0096290E" w:rsidP="0096290E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96290E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E8208" w14:textId="77777777" w:rsidR="000152A3" w:rsidRDefault="000152A3" w:rsidP="00943E2C">
      <w:pPr>
        <w:spacing w:after="0" w:line="240" w:lineRule="auto"/>
      </w:pPr>
      <w:r>
        <w:separator/>
      </w:r>
    </w:p>
  </w:endnote>
  <w:endnote w:type="continuationSeparator" w:id="0">
    <w:p w14:paraId="56BC8F2B" w14:textId="77777777" w:rsidR="000152A3" w:rsidRDefault="000152A3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roman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Lucida Sans Unicod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734A466C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D11E3D">
      <w:rPr>
        <w:b/>
        <w:bCs/>
        <w:noProof/>
      </w:rPr>
      <w:t>6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D11E3D">
      <w:rPr>
        <w:b/>
        <w:bCs/>
        <w:noProof/>
      </w:rPr>
      <w:t>6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0D52EFCA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1E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1E3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38066" w14:textId="77777777" w:rsidR="000152A3" w:rsidRDefault="000152A3" w:rsidP="00943E2C">
      <w:pPr>
        <w:spacing w:after="0" w:line="240" w:lineRule="auto"/>
      </w:pPr>
      <w:r>
        <w:separator/>
      </w:r>
    </w:p>
  </w:footnote>
  <w:footnote w:type="continuationSeparator" w:id="0">
    <w:p w14:paraId="52CBBBC2" w14:textId="77777777" w:rsidR="000152A3" w:rsidRDefault="000152A3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9130E" w14:textId="77777777" w:rsidR="004D04C7" w:rsidRDefault="002E297F" w:rsidP="004D04C7">
    <w:pPr>
      <w:spacing w:after="0"/>
      <w:jc w:val="right"/>
      <w:rPr>
        <w:i/>
        <w:iCs/>
      </w:rPr>
    </w:pPr>
    <w:r>
      <w:rPr>
        <w:i/>
        <w:iCs/>
      </w:rPr>
      <w:tab/>
      <w:t xml:space="preserve"> </w:t>
    </w:r>
    <w:r>
      <w:rPr>
        <w:i/>
        <w:iCs/>
      </w:rPr>
      <w:tab/>
      <w:t xml:space="preserve">                                             </w:t>
    </w:r>
    <w:r>
      <w:rPr>
        <w:i/>
        <w:iCs/>
      </w:rPr>
      <w:tab/>
    </w:r>
    <w:r w:rsidR="004D04C7">
      <w:rPr>
        <w:i/>
        <w:iCs/>
      </w:rPr>
      <w:t xml:space="preserve">Maintenance des ascenseurs, monte-malades et monte-charges du CHUM </w:t>
    </w:r>
    <w:r w:rsidR="004D04C7" w:rsidRPr="002F174C">
      <w:rPr>
        <w:i/>
        <w:iCs/>
      </w:rPr>
      <w:t xml:space="preserve">– </w:t>
    </w:r>
  </w:p>
  <w:p w14:paraId="08DCD941" w14:textId="77777777" w:rsidR="004D04C7" w:rsidRPr="00BD3CA0" w:rsidRDefault="004D04C7" w:rsidP="004D04C7">
    <w:pPr>
      <w:spacing w:after="0"/>
      <w:jc w:val="right"/>
      <w:rPr>
        <w:i/>
        <w:iCs/>
      </w:rPr>
    </w:pPr>
    <w:proofErr w:type="gramStart"/>
    <w:r w:rsidRPr="002F174C">
      <w:rPr>
        <w:i/>
        <w:iCs/>
      </w:rPr>
      <w:t>n</w:t>
    </w:r>
    <w:proofErr w:type="gramEnd"/>
    <w:r w:rsidRPr="002F174C">
      <w:rPr>
        <w:i/>
        <w:iCs/>
      </w:rPr>
      <w:t>°DCE-202</w:t>
    </w:r>
    <w:r>
      <w:rPr>
        <w:i/>
        <w:iCs/>
      </w:rPr>
      <w:t>5-ATECK-152-GVL</w:t>
    </w:r>
    <w:r w:rsidRPr="002F174C">
      <w:rPr>
        <w:i/>
        <w:iCs/>
      </w:rPr>
      <w:t xml:space="preserve"> </w:t>
    </w:r>
    <w:r w:rsidRPr="00C32ADD">
      <w:rPr>
        <w:i/>
        <w:iCs/>
      </w:rPr>
      <w:t>–</w:t>
    </w:r>
    <w:r w:rsidRPr="00DC6FB9">
      <w:rPr>
        <w:i/>
        <w:iCs/>
      </w:rPr>
      <w:t xml:space="preserve"> Cadre de </w:t>
    </w:r>
    <w:r>
      <w:rPr>
        <w:i/>
        <w:iCs/>
      </w:rPr>
      <w:t xml:space="preserve">mémoire </w:t>
    </w:r>
    <w:r w:rsidRPr="00DC6FB9">
      <w:rPr>
        <w:i/>
        <w:iCs/>
      </w:rPr>
      <w:t xml:space="preserve">technique </w:t>
    </w:r>
  </w:p>
  <w:p w14:paraId="386084DF" w14:textId="1B874BF0" w:rsidR="00925826" w:rsidRPr="00C67F06" w:rsidRDefault="00925826" w:rsidP="004D04C7">
    <w:pPr>
      <w:pStyle w:val="En-tte"/>
      <w:tabs>
        <w:tab w:val="left" w:pos="4335"/>
        <w:tab w:val="right" w:pos="140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0DC8" w14:textId="77777777" w:rsidR="004D04C7" w:rsidRDefault="004D04C7" w:rsidP="004D04C7">
    <w:pPr>
      <w:spacing w:after="0"/>
      <w:jc w:val="right"/>
      <w:rPr>
        <w:i/>
        <w:iCs/>
      </w:rPr>
    </w:pPr>
    <w:bookmarkStart w:id="4" w:name="_Hlk184218071"/>
    <w:bookmarkStart w:id="5" w:name="_Hlk515964493"/>
    <w:bookmarkStart w:id="6" w:name="_Hlk515964492"/>
    <w:bookmarkStart w:id="7" w:name="_Hlk78277899"/>
    <w:r>
      <w:rPr>
        <w:i/>
        <w:iCs/>
      </w:rPr>
      <w:t xml:space="preserve">Maintenance des ascenseurs, monte-malades et monte-charges du CHUM </w:t>
    </w:r>
    <w:r w:rsidRPr="002F174C">
      <w:rPr>
        <w:i/>
        <w:iCs/>
      </w:rPr>
      <w:t xml:space="preserve">– </w:t>
    </w:r>
  </w:p>
  <w:p w14:paraId="634EF80A" w14:textId="37AD1BBC" w:rsidR="00C67F06" w:rsidRPr="00BD3CA0" w:rsidRDefault="004D04C7" w:rsidP="004D04C7">
    <w:pPr>
      <w:spacing w:after="0"/>
      <w:jc w:val="right"/>
      <w:rPr>
        <w:i/>
        <w:iCs/>
      </w:rPr>
    </w:pPr>
    <w:proofErr w:type="gramStart"/>
    <w:r w:rsidRPr="002F174C">
      <w:rPr>
        <w:i/>
        <w:iCs/>
      </w:rPr>
      <w:t>n</w:t>
    </w:r>
    <w:proofErr w:type="gramEnd"/>
    <w:r w:rsidRPr="002F174C">
      <w:rPr>
        <w:i/>
        <w:iCs/>
      </w:rPr>
      <w:t>°DCE-202</w:t>
    </w:r>
    <w:r>
      <w:rPr>
        <w:i/>
        <w:iCs/>
      </w:rPr>
      <w:t>5-ATECK-152-GVL</w:t>
    </w:r>
    <w:r w:rsidRPr="002F174C">
      <w:rPr>
        <w:i/>
        <w:iCs/>
      </w:rPr>
      <w:t xml:space="preserve"> </w:t>
    </w:r>
    <w:bookmarkEnd w:id="4"/>
    <w:r w:rsidRPr="00C32ADD">
      <w:rPr>
        <w:i/>
        <w:iCs/>
      </w:rPr>
      <w:t>–</w:t>
    </w:r>
    <w:bookmarkEnd w:id="5"/>
    <w:bookmarkEnd w:id="6"/>
    <w:bookmarkEnd w:id="7"/>
    <w:r w:rsidR="00C67F06" w:rsidRPr="00DC6FB9">
      <w:rPr>
        <w:i/>
        <w:iCs/>
      </w:rPr>
      <w:t xml:space="preserve"> Cadre de </w:t>
    </w:r>
    <w:r>
      <w:rPr>
        <w:i/>
        <w:iCs/>
      </w:rPr>
      <w:t xml:space="preserve">mémoire </w:t>
    </w:r>
    <w:r w:rsidR="00C67F06" w:rsidRPr="00DC6FB9">
      <w:rPr>
        <w:i/>
        <w:iCs/>
      </w:rPr>
      <w:t>technique</w:t>
    </w:r>
    <w:r w:rsidR="001E48C9" w:rsidRPr="00DC6FB9">
      <w:rPr>
        <w:i/>
        <w:iCs/>
      </w:rPr>
      <w:t xml:space="preserve"> 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628571">
    <w:abstractNumId w:val="2"/>
  </w:num>
  <w:num w:numId="2" w16cid:durableId="388920089">
    <w:abstractNumId w:val="8"/>
  </w:num>
  <w:num w:numId="3" w16cid:durableId="403600725">
    <w:abstractNumId w:val="6"/>
  </w:num>
  <w:num w:numId="4" w16cid:durableId="293996450">
    <w:abstractNumId w:val="1"/>
  </w:num>
  <w:num w:numId="5" w16cid:durableId="1021511262">
    <w:abstractNumId w:val="7"/>
  </w:num>
  <w:num w:numId="6" w16cid:durableId="281036443">
    <w:abstractNumId w:val="5"/>
  </w:num>
  <w:num w:numId="7" w16cid:durableId="1716198611">
    <w:abstractNumId w:val="4"/>
  </w:num>
  <w:num w:numId="8" w16cid:durableId="670063054">
    <w:abstractNumId w:val="5"/>
  </w:num>
  <w:num w:numId="9" w16cid:durableId="1857309298">
    <w:abstractNumId w:val="0"/>
  </w:num>
  <w:num w:numId="10" w16cid:durableId="175047836">
    <w:abstractNumId w:val="10"/>
  </w:num>
  <w:num w:numId="11" w16cid:durableId="2123331339">
    <w:abstractNumId w:val="5"/>
  </w:num>
  <w:num w:numId="12" w16cid:durableId="2015640805">
    <w:abstractNumId w:val="5"/>
  </w:num>
  <w:num w:numId="13" w16cid:durableId="1188249264">
    <w:abstractNumId w:val="5"/>
  </w:num>
  <w:num w:numId="14" w16cid:durableId="1834180094">
    <w:abstractNumId w:val="5"/>
  </w:num>
  <w:num w:numId="15" w16cid:durableId="912279935">
    <w:abstractNumId w:val="5"/>
  </w:num>
  <w:num w:numId="16" w16cid:durableId="404843106">
    <w:abstractNumId w:val="9"/>
  </w:num>
  <w:num w:numId="17" w16cid:durableId="1431314491">
    <w:abstractNumId w:val="5"/>
  </w:num>
  <w:num w:numId="18" w16cid:durableId="1898054043">
    <w:abstractNumId w:val="3"/>
  </w:num>
  <w:num w:numId="19" w16cid:durableId="1570505827">
    <w:abstractNumId w:val="5"/>
  </w:num>
  <w:num w:numId="20" w16cid:durableId="10175814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E2C"/>
    <w:rsid w:val="00013653"/>
    <w:rsid w:val="000152A3"/>
    <w:rsid w:val="000263FC"/>
    <w:rsid w:val="000445DC"/>
    <w:rsid w:val="00071090"/>
    <w:rsid w:val="000F70C5"/>
    <w:rsid w:val="00101ED9"/>
    <w:rsid w:val="001141BB"/>
    <w:rsid w:val="00136342"/>
    <w:rsid w:val="00136C3E"/>
    <w:rsid w:val="00142187"/>
    <w:rsid w:val="00175621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A0195"/>
    <w:rsid w:val="002B32AF"/>
    <w:rsid w:val="002D52DF"/>
    <w:rsid w:val="002E297F"/>
    <w:rsid w:val="003656AA"/>
    <w:rsid w:val="0037573E"/>
    <w:rsid w:val="003849AD"/>
    <w:rsid w:val="00385E52"/>
    <w:rsid w:val="003B1DEB"/>
    <w:rsid w:val="003B3872"/>
    <w:rsid w:val="003C43CA"/>
    <w:rsid w:val="003C69D8"/>
    <w:rsid w:val="003D77A1"/>
    <w:rsid w:val="003F0B7F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D04C7"/>
    <w:rsid w:val="004D3163"/>
    <w:rsid w:val="004F6DD0"/>
    <w:rsid w:val="004F704A"/>
    <w:rsid w:val="0054112C"/>
    <w:rsid w:val="00551197"/>
    <w:rsid w:val="00566B3A"/>
    <w:rsid w:val="005B2468"/>
    <w:rsid w:val="005C7E4D"/>
    <w:rsid w:val="005D0B45"/>
    <w:rsid w:val="005E22A6"/>
    <w:rsid w:val="005F408F"/>
    <w:rsid w:val="00617143"/>
    <w:rsid w:val="0065225D"/>
    <w:rsid w:val="00661E06"/>
    <w:rsid w:val="006744C7"/>
    <w:rsid w:val="006D3984"/>
    <w:rsid w:val="006D774B"/>
    <w:rsid w:val="006E008A"/>
    <w:rsid w:val="006E62DC"/>
    <w:rsid w:val="00747051"/>
    <w:rsid w:val="007740AF"/>
    <w:rsid w:val="007C40B6"/>
    <w:rsid w:val="007F37FB"/>
    <w:rsid w:val="00812AE5"/>
    <w:rsid w:val="008215B1"/>
    <w:rsid w:val="00832931"/>
    <w:rsid w:val="008335F4"/>
    <w:rsid w:val="00875E4E"/>
    <w:rsid w:val="00882345"/>
    <w:rsid w:val="008910C4"/>
    <w:rsid w:val="008B2171"/>
    <w:rsid w:val="008D50A9"/>
    <w:rsid w:val="008F10D8"/>
    <w:rsid w:val="00906319"/>
    <w:rsid w:val="00911183"/>
    <w:rsid w:val="00923233"/>
    <w:rsid w:val="00925826"/>
    <w:rsid w:val="00943E2C"/>
    <w:rsid w:val="00944A96"/>
    <w:rsid w:val="0096290E"/>
    <w:rsid w:val="009629E8"/>
    <w:rsid w:val="009A07EB"/>
    <w:rsid w:val="009C6E43"/>
    <w:rsid w:val="00A142B6"/>
    <w:rsid w:val="00A43FDB"/>
    <w:rsid w:val="00A56576"/>
    <w:rsid w:val="00A86427"/>
    <w:rsid w:val="00AA19C5"/>
    <w:rsid w:val="00AC20DA"/>
    <w:rsid w:val="00B012AA"/>
    <w:rsid w:val="00B2684E"/>
    <w:rsid w:val="00B659CF"/>
    <w:rsid w:val="00B76E2A"/>
    <w:rsid w:val="00B9141B"/>
    <w:rsid w:val="00BB03BA"/>
    <w:rsid w:val="00BB0787"/>
    <w:rsid w:val="00BE01F3"/>
    <w:rsid w:val="00BE5ACD"/>
    <w:rsid w:val="00BF2C18"/>
    <w:rsid w:val="00C064B4"/>
    <w:rsid w:val="00C31B6B"/>
    <w:rsid w:val="00C45D9A"/>
    <w:rsid w:val="00C67F06"/>
    <w:rsid w:val="00C74246"/>
    <w:rsid w:val="00CD68A7"/>
    <w:rsid w:val="00CE72A5"/>
    <w:rsid w:val="00D11E3D"/>
    <w:rsid w:val="00D22EAE"/>
    <w:rsid w:val="00D45B9E"/>
    <w:rsid w:val="00D7448E"/>
    <w:rsid w:val="00D973B3"/>
    <w:rsid w:val="00DB624A"/>
    <w:rsid w:val="00DC3915"/>
    <w:rsid w:val="00DC6FB9"/>
    <w:rsid w:val="00DE6C9C"/>
    <w:rsid w:val="00E24290"/>
    <w:rsid w:val="00E27692"/>
    <w:rsid w:val="00E34D68"/>
    <w:rsid w:val="00E37E05"/>
    <w:rsid w:val="00E57BC2"/>
    <w:rsid w:val="00E61661"/>
    <w:rsid w:val="00E93F5A"/>
    <w:rsid w:val="00E95C6A"/>
    <w:rsid w:val="00EB134E"/>
    <w:rsid w:val="00EB29F4"/>
    <w:rsid w:val="00ED4DE2"/>
    <w:rsid w:val="00EF6461"/>
    <w:rsid w:val="00F2618E"/>
    <w:rsid w:val="00F271EE"/>
    <w:rsid w:val="00F3607E"/>
    <w:rsid w:val="00F41F51"/>
    <w:rsid w:val="00F545C5"/>
    <w:rsid w:val="00F54E4D"/>
    <w:rsid w:val="00F832C2"/>
    <w:rsid w:val="00F965E9"/>
    <w:rsid w:val="00FA082E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90E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1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link w:val="Paragraphedeliste"/>
    <w:uiPriority w:val="1"/>
    <w:rsid w:val="00241281"/>
  </w:style>
  <w:style w:type="character" w:styleId="Marquedecommentaire">
    <w:name w:val="annotation reference"/>
    <w:basedOn w:val="Policepardfaut"/>
    <w:uiPriority w:val="99"/>
    <w:semiHidden/>
    <w:unhideWhenUsed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D38AF-9395-4AE8-B534-B7DE7214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Chateaureynaud</dc:creator>
  <cp:lastModifiedBy>Marie Chateaureynaud</cp:lastModifiedBy>
  <cp:revision>2</cp:revision>
  <dcterms:created xsi:type="dcterms:W3CDTF">2025-10-09T10:17:00Z</dcterms:created>
  <dcterms:modified xsi:type="dcterms:W3CDTF">2025-10-09T10:17:00Z</dcterms:modified>
</cp:coreProperties>
</file>